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375" w:rsidRPr="00E3457F" w:rsidRDefault="000A6375" w:rsidP="000A6375">
      <w:pPr>
        <w:ind w:firstLine="4959"/>
        <w:jc w:val="center"/>
        <w:rPr>
          <w:rFonts w:eastAsia="Times New Roman"/>
          <w:color w:val="FFFFFF" w:themeColor="background1"/>
          <w:szCs w:val="28"/>
          <w:lang w:eastAsia="ru-RU"/>
        </w:rPr>
      </w:pPr>
      <w:r w:rsidRPr="00E3457F">
        <w:rPr>
          <w:rFonts w:eastAsia="Times New Roman"/>
          <w:color w:val="FFFFFF" w:themeColor="background1"/>
          <w:szCs w:val="28"/>
          <w:lang w:eastAsia="ru-RU"/>
        </w:rPr>
        <w:t>Вносится Комитетом</w:t>
      </w:r>
    </w:p>
    <w:p w:rsidR="000A6375" w:rsidRPr="00E3457F" w:rsidRDefault="000A6375" w:rsidP="000A6375">
      <w:pPr>
        <w:ind w:firstLine="4959"/>
        <w:jc w:val="center"/>
        <w:rPr>
          <w:rFonts w:eastAsia="Times New Roman"/>
          <w:color w:val="FFFFFF" w:themeColor="background1"/>
          <w:szCs w:val="28"/>
          <w:lang w:eastAsia="ru-RU"/>
        </w:rPr>
      </w:pPr>
      <w:r w:rsidRPr="00E3457F">
        <w:rPr>
          <w:rFonts w:eastAsia="Times New Roman"/>
          <w:color w:val="FFFFFF" w:themeColor="background1"/>
          <w:szCs w:val="28"/>
          <w:lang w:eastAsia="ru-RU"/>
        </w:rPr>
        <w:t>по строительству, ЖКХ и ТЭК</w:t>
      </w:r>
    </w:p>
    <w:p w:rsidR="000A6375" w:rsidRPr="00E3457F" w:rsidRDefault="000A6375" w:rsidP="000A6375">
      <w:pPr>
        <w:ind w:firstLine="4959"/>
        <w:jc w:val="center"/>
        <w:rPr>
          <w:rFonts w:eastAsia="Times New Roman"/>
          <w:color w:val="FFFFFF" w:themeColor="background1"/>
          <w:szCs w:val="28"/>
          <w:lang w:eastAsia="ru-RU"/>
        </w:rPr>
      </w:pPr>
    </w:p>
    <w:p w:rsidR="000A6375" w:rsidRPr="00E3457F" w:rsidRDefault="000A6375" w:rsidP="000A6375">
      <w:pPr>
        <w:ind w:firstLine="4959"/>
        <w:jc w:val="center"/>
        <w:rPr>
          <w:rFonts w:eastAsia="Times New Roman"/>
          <w:color w:val="FFFFFF" w:themeColor="background1"/>
          <w:szCs w:val="28"/>
          <w:lang w:eastAsia="ru-RU"/>
        </w:rPr>
      </w:pPr>
      <w:r w:rsidRPr="00E3457F">
        <w:rPr>
          <w:rFonts w:eastAsia="Times New Roman"/>
          <w:color w:val="FFFFFF" w:themeColor="background1"/>
          <w:szCs w:val="28"/>
          <w:lang w:eastAsia="ru-RU"/>
        </w:rPr>
        <w:t>Проект</w:t>
      </w:r>
    </w:p>
    <w:p w:rsidR="000A6375" w:rsidRDefault="000A6375" w:rsidP="000A6375">
      <w:pPr>
        <w:jc w:val="center"/>
        <w:rPr>
          <w:rFonts w:eastAsia="Times New Roman"/>
          <w:b/>
          <w:color w:val="FFFFFF" w:themeColor="background1"/>
          <w:szCs w:val="28"/>
          <w:lang w:eastAsia="ru-RU"/>
        </w:rPr>
      </w:pPr>
    </w:p>
    <w:p w:rsidR="00C96C68" w:rsidRDefault="00C96C68" w:rsidP="000A6375">
      <w:pPr>
        <w:jc w:val="center"/>
        <w:rPr>
          <w:rFonts w:eastAsia="Times New Roman"/>
          <w:b/>
          <w:color w:val="FFFFFF" w:themeColor="background1"/>
          <w:szCs w:val="28"/>
          <w:lang w:eastAsia="ru-RU"/>
        </w:rPr>
      </w:pPr>
    </w:p>
    <w:p w:rsidR="00C96C68" w:rsidRPr="00E3457F" w:rsidRDefault="00C96C68" w:rsidP="000A6375">
      <w:pPr>
        <w:jc w:val="center"/>
        <w:rPr>
          <w:rFonts w:eastAsia="Times New Roman"/>
          <w:b/>
          <w:color w:val="FFFFFF" w:themeColor="background1"/>
          <w:szCs w:val="28"/>
          <w:lang w:eastAsia="ru-RU"/>
        </w:rPr>
      </w:pPr>
    </w:p>
    <w:p w:rsidR="000A6375" w:rsidRPr="000A6375" w:rsidRDefault="000A6375" w:rsidP="000A6375">
      <w:pPr>
        <w:jc w:val="center"/>
        <w:rPr>
          <w:rFonts w:eastAsia="Times New Roman"/>
          <w:b/>
          <w:color w:val="auto"/>
          <w:szCs w:val="28"/>
          <w:lang w:eastAsia="ru-RU"/>
        </w:rPr>
      </w:pPr>
    </w:p>
    <w:p w:rsidR="000A6375" w:rsidRPr="009240F5" w:rsidRDefault="000A6375" w:rsidP="000A6375">
      <w:pPr>
        <w:jc w:val="center"/>
        <w:rPr>
          <w:rFonts w:eastAsia="Times New Roman"/>
          <w:b/>
          <w:color w:val="auto"/>
          <w:szCs w:val="28"/>
          <w:lang w:eastAsia="ru-RU"/>
        </w:rPr>
      </w:pPr>
      <w:r w:rsidRPr="009240F5">
        <w:rPr>
          <w:rFonts w:eastAsia="Times New Roman"/>
          <w:b/>
          <w:color w:val="auto"/>
          <w:szCs w:val="28"/>
          <w:lang w:eastAsia="ru-RU"/>
        </w:rPr>
        <w:t>Р Е Ш Е Н И Е</w:t>
      </w:r>
    </w:p>
    <w:p w:rsidR="000A6375" w:rsidRPr="009240F5" w:rsidRDefault="000A6375" w:rsidP="000A6375">
      <w:pPr>
        <w:jc w:val="center"/>
        <w:rPr>
          <w:rFonts w:eastAsia="Times New Roman"/>
          <w:color w:val="auto"/>
          <w:szCs w:val="28"/>
          <w:lang w:eastAsia="ru-RU"/>
        </w:rPr>
      </w:pPr>
      <w:r w:rsidRPr="009240F5">
        <w:rPr>
          <w:rFonts w:eastAsia="Times New Roman"/>
          <w:color w:val="auto"/>
          <w:szCs w:val="28"/>
          <w:lang w:eastAsia="ru-RU"/>
        </w:rPr>
        <w:t>президиума Парламента Кабардино-Балкарской Республики</w:t>
      </w:r>
    </w:p>
    <w:p w:rsidR="000A6375" w:rsidRPr="009240F5" w:rsidRDefault="000A6375" w:rsidP="000A6375">
      <w:pPr>
        <w:autoSpaceDE w:val="0"/>
        <w:autoSpaceDN w:val="0"/>
        <w:adjustRightInd w:val="0"/>
        <w:jc w:val="center"/>
        <w:rPr>
          <w:rFonts w:eastAsia="Calibri"/>
          <w:b/>
          <w:bCs/>
          <w:color w:val="auto"/>
          <w:szCs w:val="28"/>
          <w:lang w:eastAsia="ru-RU"/>
        </w:rPr>
      </w:pPr>
    </w:p>
    <w:p w:rsidR="002B5222" w:rsidRDefault="000A6375" w:rsidP="000A6375">
      <w:pPr>
        <w:autoSpaceDE w:val="0"/>
        <w:autoSpaceDN w:val="0"/>
        <w:adjustRightInd w:val="0"/>
        <w:jc w:val="center"/>
        <w:rPr>
          <w:rFonts w:eastAsia="Times New Roman"/>
          <w:color w:val="auto"/>
          <w:szCs w:val="28"/>
          <w:lang w:eastAsia="ru-RU"/>
        </w:rPr>
      </w:pPr>
      <w:bookmarkStart w:id="0" w:name="_GoBack"/>
      <w:r w:rsidRPr="000A6375">
        <w:rPr>
          <w:rFonts w:eastAsia="Times New Roman"/>
          <w:color w:val="auto"/>
          <w:szCs w:val="28"/>
          <w:lang w:eastAsia="ru-RU"/>
        </w:rPr>
        <w:t xml:space="preserve">Об организации государственного жилищного надзора и лицензирования </w:t>
      </w:r>
    </w:p>
    <w:p w:rsidR="000A6375" w:rsidRDefault="000A6375" w:rsidP="000A6375">
      <w:pPr>
        <w:autoSpaceDE w:val="0"/>
        <w:autoSpaceDN w:val="0"/>
        <w:adjustRightInd w:val="0"/>
        <w:jc w:val="center"/>
        <w:rPr>
          <w:rFonts w:eastAsia="Times New Roman"/>
          <w:color w:val="auto"/>
          <w:szCs w:val="28"/>
          <w:lang w:eastAsia="ru-RU"/>
        </w:rPr>
      </w:pPr>
      <w:r w:rsidRPr="000A6375">
        <w:rPr>
          <w:rFonts w:eastAsia="Times New Roman"/>
          <w:color w:val="auto"/>
          <w:szCs w:val="28"/>
          <w:lang w:eastAsia="ru-RU"/>
        </w:rPr>
        <w:t xml:space="preserve">деятельности по управлению многоквартирными домами </w:t>
      </w:r>
    </w:p>
    <w:p w:rsidR="000A6375" w:rsidRPr="009240F5" w:rsidRDefault="000A6375" w:rsidP="000A6375">
      <w:pPr>
        <w:autoSpaceDE w:val="0"/>
        <w:autoSpaceDN w:val="0"/>
        <w:adjustRightInd w:val="0"/>
        <w:jc w:val="center"/>
        <w:rPr>
          <w:rFonts w:eastAsia="Calibri"/>
          <w:bCs/>
          <w:color w:val="auto"/>
          <w:szCs w:val="28"/>
          <w:lang w:eastAsia="ru-RU"/>
        </w:rPr>
      </w:pPr>
      <w:r w:rsidRPr="000A6375">
        <w:rPr>
          <w:rFonts w:eastAsia="Times New Roman"/>
          <w:color w:val="auto"/>
          <w:szCs w:val="28"/>
          <w:lang w:eastAsia="ru-RU"/>
        </w:rPr>
        <w:t>в Кабардино-Балкарской Республике</w:t>
      </w:r>
    </w:p>
    <w:bookmarkEnd w:id="0"/>
    <w:p w:rsidR="000A6375" w:rsidRPr="009240F5" w:rsidRDefault="000A6375" w:rsidP="000A6375">
      <w:pPr>
        <w:autoSpaceDE w:val="0"/>
        <w:autoSpaceDN w:val="0"/>
        <w:adjustRightInd w:val="0"/>
        <w:jc w:val="center"/>
        <w:rPr>
          <w:rFonts w:eastAsia="Calibri"/>
          <w:b/>
          <w:bCs/>
          <w:color w:val="auto"/>
          <w:szCs w:val="28"/>
          <w:lang w:eastAsia="ru-RU"/>
        </w:rPr>
      </w:pPr>
    </w:p>
    <w:p w:rsidR="000A6375" w:rsidRPr="009240F5" w:rsidRDefault="000A6375" w:rsidP="000A6375">
      <w:pPr>
        <w:autoSpaceDE w:val="0"/>
        <w:autoSpaceDN w:val="0"/>
        <w:adjustRightInd w:val="0"/>
        <w:ind w:firstLine="709"/>
        <w:jc w:val="both"/>
      </w:pPr>
      <w:r w:rsidRPr="009240F5">
        <w:t xml:space="preserve">Заслушав и обсудив в рамках </w:t>
      </w:r>
      <w:r>
        <w:t>"правительственного часа"</w:t>
      </w:r>
      <w:r w:rsidRPr="009240F5">
        <w:t xml:space="preserve"> информацию </w:t>
      </w:r>
      <w:r>
        <w:rPr>
          <w:lang w:eastAsia="ru-RU"/>
        </w:rPr>
        <w:t>исполняющего обязанности председателя Государственного</w:t>
      </w:r>
      <w:r w:rsidRPr="009240F5">
        <w:t xml:space="preserve"> </w:t>
      </w:r>
      <w:r w:rsidRPr="00A94C32">
        <w:t>комитет</w:t>
      </w:r>
      <w:r>
        <w:t>а</w:t>
      </w:r>
      <w:r w:rsidRPr="00A94C32">
        <w:t xml:space="preserve"> Кабардино-Балкарской Республики </w:t>
      </w:r>
      <w:r>
        <w:t>п</w:t>
      </w:r>
      <w:r w:rsidRPr="00A94C32">
        <w:t>о тарифам и жилищному надзору</w:t>
      </w:r>
      <w:r w:rsidRPr="009240F5">
        <w:t xml:space="preserve"> </w:t>
      </w:r>
      <w:r>
        <w:t xml:space="preserve">А.А. </w:t>
      </w:r>
      <w:proofErr w:type="spellStart"/>
      <w:r>
        <w:t>Макуашева</w:t>
      </w:r>
      <w:proofErr w:type="spellEnd"/>
      <w:r>
        <w:t xml:space="preserve"> </w:t>
      </w:r>
      <w:r w:rsidRPr="009240F5">
        <w:t>о</w:t>
      </w:r>
      <w:r w:rsidRPr="000A6375">
        <w:rPr>
          <w:lang w:eastAsia="ru-RU"/>
        </w:rPr>
        <w:t>б организации государственного жилищного надзора и лицензирования деятельности по управлению многоквартирными домами в Кабардино-Балкарской Республике</w:t>
      </w:r>
      <w:r w:rsidRPr="009240F5">
        <w:t>, президиум Парламента Кабардино-Балкарской Республики отмечает следующее.</w:t>
      </w:r>
    </w:p>
    <w:p w:rsidR="00D86480" w:rsidRPr="00D86480" w:rsidRDefault="00D86480" w:rsidP="00D86480">
      <w:pPr>
        <w:ind w:firstLine="708"/>
        <w:jc w:val="both"/>
        <w:rPr>
          <w:rFonts w:eastAsia="Times New Roman"/>
          <w:bCs/>
          <w:color w:val="auto"/>
          <w:szCs w:val="28"/>
          <w:lang w:eastAsia="ru-RU"/>
        </w:rPr>
      </w:pPr>
      <w:r w:rsidRPr="00D86480">
        <w:rPr>
          <w:rFonts w:eastAsia="Times New Roman"/>
          <w:bCs/>
          <w:color w:val="auto"/>
          <w:szCs w:val="28"/>
          <w:lang w:eastAsia="ru-RU"/>
        </w:rPr>
        <w:t xml:space="preserve">На территории Кабардино-Балкарской Республики деятельность по управлению </w:t>
      </w:r>
      <w:r>
        <w:rPr>
          <w:rFonts w:eastAsia="Times New Roman"/>
          <w:bCs/>
          <w:color w:val="auto"/>
          <w:szCs w:val="28"/>
          <w:lang w:eastAsia="ru-RU"/>
        </w:rPr>
        <w:t xml:space="preserve">многоквартирными жилыми домами </w:t>
      </w:r>
      <w:r w:rsidR="001732DB" w:rsidRPr="00D86480">
        <w:rPr>
          <w:rFonts w:eastAsia="Times New Roman"/>
          <w:bCs/>
          <w:color w:val="auto"/>
          <w:szCs w:val="28"/>
          <w:lang w:eastAsia="ru-RU"/>
        </w:rPr>
        <w:t>осуществля</w:t>
      </w:r>
      <w:r w:rsidR="001732DB">
        <w:rPr>
          <w:rFonts w:eastAsia="Times New Roman"/>
          <w:bCs/>
          <w:color w:val="auto"/>
          <w:szCs w:val="28"/>
          <w:lang w:eastAsia="ru-RU"/>
        </w:rPr>
        <w:t>е</w:t>
      </w:r>
      <w:r w:rsidR="001732DB" w:rsidRPr="00D86480">
        <w:rPr>
          <w:rFonts w:eastAsia="Times New Roman"/>
          <w:bCs/>
          <w:color w:val="auto"/>
          <w:szCs w:val="28"/>
          <w:lang w:eastAsia="ru-RU"/>
        </w:rPr>
        <w:t xml:space="preserve">т </w:t>
      </w:r>
      <w:r w:rsidRPr="00D86480">
        <w:rPr>
          <w:rFonts w:eastAsia="Times New Roman"/>
          <w:bCs/>
          <w:color w:val="auto"/>
          <w:szCs w:val="28"/>
          <w:lang w:eastAsia="ru-RU"/>
        </w:rPr>
        <w:t xml:space="preserve">181 юридическое лицо в </w:t>
      </w:r>
      <w:r>
        <w:rPr>
          <w:rFonts w:eastAsia="Times New Roman"/>
          <w:bCs/>
          <w:color w:val="auto"/>
          <w:szCs w:val="28"/>
          <w:lang w:eastAsia="ru-RU"/>
        </w:rPr>
        <w:t>отношении 1806 многоквартирных жилых домов.</w:t>
      </w:r>
    </w:p>
    <w:p w:rsidR="00D86480" w:rsidRDefault="002B5222" w:rsidP="00BB7151">
      <w:pPr>
        <w:ind w:firstLine="709"/>
        <w:jc w:val="both"/>
      </w:pPr>
      <w:r>
        <w:t>В</w:t>
      </w:r>
      <w:r w:rsidR="00D86480" w:rsidRPr="00D86480">
        <w:t xml:space="preserve"> </w:t>
      </w:r>
      <w:r>
        <w:rPr>
          <w:lang w:val="en-US"/>
        </w:rPr>
        <w:t>I</w:t>
      </w:r>
      <w:r w:rsidR="00D86480" w:rsidRPr="00D86480">
        <w:t xml:space="preserve"> квартал</w:t>
      </w:r>
      <w:r>
        <w:t>е</w:t>
      </w:r>
      <w:r w:rsidR="00D86480">
        <w:t xml:space="preserve"> </w:t>
      </w:r>
      <w:r w:rsidR="00D86480" w:rsidRPr="00D86480">
        <w:t xml:space="preserve">2024 года </w:t>
      </w:r>
      <w:r w:rsidR="00D86480">
        <w:t>рассмотрено</w:t>
      </w:r>
      <w:r w:rsidR="00D86480" w:rsidRPr="00D86480">
        <w:t xml:space="preserve"> 410 обращений, поступивших в </w:t>
      </w:r>
      <w:proofErr w:type="spellStart"/>
      <w:proofErr w:type="gramStart"/>
      <w:r w:rsidR="001A62DE" w:rsidRPr="001A62DE">
        <w:t>Го</w:t>
      </w:r>
      <w:r w:rsidR="001732DB">
        <w:t>-</w:t>
      </w:r>
      <w:r w:rsidR="001A62DE" w:rsidRPr="001A62DE">
        <w:t>сударственн</w:t>
      </w:r>
      <w:r w:rsidR="001A62DE">
        <w:t>ый</w:t>
      </w:r>
      <w:proofErr w:type="spellEnd"/>
      <w:proofErr w:type="gramEnd"/>
      <w:r w:rsidR="001A62DE">
        <w:t xml:space="preserve"> комитет</w:t>
      </w:r>
      <w:r w:rsidR="001A62DE" w:rsidRPr="001A62DE">
        <w:t xml:space="preserve"> Кабардин</w:t>
      </w:r>
      <w:r w:rsidR="001A62DE">
        <w:t>о-Балкарской Республики по тари</w:t>
      </w:r>
      <w:r w:rsidR="001A62DE" w:rsidRPr="001A62DE">
        <w:t xml:space="preserve">фам и жилищному надзору </w:t>
      </w:r>
      <w:r w:rsidR="001A62DE">
        <w:t xml:space="preserve">(далее - Комитет) </w:t>
      </w:r>
      <w:r w:rsidR="00D86480">
        <w:t xml:space="preserve">от граждан и юридических лиц, </w:t>
      </w:r>
      <w:r w:rsidR="00D86480" w:rsidRPr="00D86480">
        <w:t>проведено 25 внеплановых проверок и 24 инспекционных визита</w:t>
      </w:r>
      <w:r w:rsidR="00D86480">
        <w:t xml:space="preserve">. </w:t>
      </w:r>
      <w:r w:rsidR="00D86480" w:rsidRPr="00D86480">
        <w:t xml:space="preserve">По результатам контрольно-надзорной деятельности сотрудниками Комитета выявлено </w:t>
      </w:r>
      <w:r w:rsidR="00D86480">
        <w:t xml:space="preserve">89 </w:t>
      </w:r>
      <w:r w:rsidR="00D86480" w:rsidRPr="00D86480">
        <w:t>нарушени</w:t>
      </w:r>
      <w:r w:rsidR="001A62DE">
        <w:t>й жилищного законодательства, в</w:t>
      </w:r>
      <w:r w:rsidR="00D86480">
        <w:t xml:space="preserve">ыдано </w:t>
      </w:r>
      <w:r w:rsidR="00D86480" w:rsidRPr="00D86480">
        <w:t>25</w:t>
      </w:r>
      <w:r w:rsidR="00D86480">
        <w:t xml:space="preserve"> </w:t>
      </w:r>
      <w:r w:rsidR="00D86480" w:rsidRPr="00D86480">
        <w:t>предписани</w:t>
      </w:r>
      <w:r w:rsidR="00D86480">
        <w:t>й</w:t>
      </w:r>
      <w:r w:rsidR="00D86480" w:rsidRPr="00D86480">
        <w:t xml:space="preserve"> об устранении выявленных нарушений законодательства</w:t>
      </w:r>
      <w:r w:rsidR="00D86480">
        <w:t xml:space="preserve">, </w:t>
      </w:r>
      <w:r w:rsidR="00D86480" w:rsidRPr="00D86480">
        <w:t>составлено 1</w:t>
      </w:r>
      <w:r w:rsidR="00D86480">
        <w:t>2</w:t>
      </w:r>
      <w:r w:rsidR="00D86480" w:rsidRPr="00D86480">
        <w:t xml:space="preserve"> протоколов об ад</w:t>
      </w:r>
      <w:r w:rsidR="00D86480">
        <w:t xml:space="preserve">министративных правонарушениях. </w:t>
      </w:r>
      <w:r w:rsidR="00D86480" w:rsidRPr="00D86480">
        <w:t xml:space="preserve">По итогам рассмотрения дел об административных правонарушениях Комитетом вынесено </w:t>
      </w:r>
      <w:r>
        <w:t>два</w:t>
      </w:r>
      <w:r w:rsidR="00D86480" w:rsidRPr="00D86480">
        <w:t xml:space="preserve"> постановлени</w:t>
      </w:r>
      <w:r w:rsidR="00D86480">
        <w:t>я</w:t>
      </w:r>
      <w:r w:rsidR="00D86480" w:rsidRPr="00D86480">
        <w:t xml:space="preserve"> о привлечении к ад</w:t>
      </w:r>
      <w:r w:rsidR="00D86480">
        <w:t>министративной ответственности.</w:t>
      </w:r>
      <w:r>
        <w:t xml:space="preserve"> </w:t>
      </w:r>
      <w:r w:rsidR="00D86480" w:rsidRPr="00D86480">
        <w:t>Общая сумма пр</w:t>
      </w:r>
      <w:r w:rsidR="00D86480">
        <w:t xml:space="preserve">едъявленных штрафных санкций </w:t>
      </w:r>
      <w:r w:rsidR="00D86480" w:rsidRPr="00D86480">
        <w:t>составила 28 тыс</w:t>
      </w:r>
      <w:r w:rsidR="00BD78D6">
        <w:t>.</w:t>
      </w:r>
      <w:r w:rsidR="00D86480" w:rsidRPr="00D86480">
        <w:t xml:space="preserve"> </w:t>
      </w:r>
      <w:r w:rsidR="00D86480">
        <w:t>рублей</w:t>
      </w:r>
      <w:r w:rsidR="00D86480" w:rsidRPr="00D86480">
        <w:t>.</w:t>
      </w:r>
    </w:p>
    <w:p w:rsidR="005337C0" w:rsidRDefault="005337C0" w:rsidP="005337C0">
      <w:pPr>
        <w:ind w:firstLine="709"/>
        <w:jc w:val="both"/>
      </w:pPr>
      <w:r>
        <w:t>На основании требований республиканской, районных и городских прокуратур</w:t>
      </w:r>
      <w:r w:rsidR="001A62DE">
        <w:t xml:space="preserve"> представители</w:t>
      </w:r>
      <w:r w:rsidR="00BD78D6">
        <w:t xml:space="preserve"> Комитета принимали участие </w:t>
      </w:r>
      <w:r>
        <w:t>в совместных проверках.</w:t>
      </w:r>
    </w:p>
    <w:p w:rsidR="005337C0" w:rsidRDefault="005337C0" w:rsidP="005337C0">
      <w:pPr>
        <w:ind w:firstLine="709"/>
        <w:jc w:val="both"/>
      </w:pPr>
      <w:r>
        <w:t xml:space="preserve">В </w:t>
      </w:r>
      <w:r w:rsidR="001A62DE">
        <w:t xml:space="preserve">целях </w:t>
      </w:r>
      <w:r>
        <w:t xml:space="preserve">проверки управляющих организаций по вопросу правильности начислений за электрическую энергию для общедомовых нужд, в отношении ресурсоснабжающих организаций </w:t>
      </w:r>
      <w:r w:rsidR="00E3457F">
        <w:t xml:space="preserve">- </w:t>
      </w:r>
      <w:r>
        <w:t>на предмет правильности начислений платы за коммунальные услуги</w:t>
      </w:r>
      <w:r w:rsidR="001A62DE">
        <w:t xml:space="preserve"> в </w:t>
      </w:r>
      <w:r w:rsidR="001A62DE" w:rsidRPr="001A62DE">
        <w:t>I квартале 2024 года проведены обследовани</w:t>
      </w:r>
      <w:r w:rsidR="001A62DE">
        <w:t>я</w:t>
      </w:r>
      <w:r w:rsidR="001A62DE" w:rsidRPr="001A62DE">
        <w:t xml:space="preserve"> 2</w:t>
      </w:r>
      <w:r w:rsidR="001A62DE">
        <w:t>2 многоквартирных жилых домов</w:t>
      </w:r>
      <w:r>
        <w:t>.</w:t>
      </w:r>
    </w:p>
    <w:p w:rsidR="00BB4E88" w:rsidRDefault="001A62DE" w:rsidP="00BB4E88">
      <w:pPr>
        <w:ind w:firstLine="709"/>
        <w:jc w:val="both"/>
      </w:pPr>
      <w:r w:rsidRPr="007E7634">
        <w:t xml:space="preserve">При </w:t>
      </w:r>
      <w:r w:rsidR="002B5222" w:rsidRPr="007E7634">
        <w:t xml:space="preserve">осуществлении государственного жилищного надзора </w:t>
      </w:r>
      <w:r w:rsidR="00E3457F">
        <w:t>профилактические</w:t>
      </w:r>
      <w:r w:rsidR="002B5222">
        <w:t xml:space="preserve"> мероприяти</w:t>
      </w:r>
      <w:r w:rsidR="00E3457F">
        <w:t>я</w:t>
      </w:r>
      <w:r w:rsidR="002B5222">
        <w:t xml:space="preserve">, </w:t>
      </w:r>
      <w:r w:rsidR="000B34EC" w:rsidRPr="007E7634">
        <w:t>направленны</w:t>
      </w:r>
      <w:r w:rsidR="00E3457F">
        <w:t>е</w:t>
      </w:r>
      <w:r w:rsidR="000B34EC" w:rsidRPr="007E7634">
        <w:t xml:space="preserve"> на снижени</w:t>
      </w:r>
      <w:r w:rsidR="000B34EC">
        <w:t>е риска причинения ущерба,</w:t>
      </w:r>
      <w:r w:rsidR="000B34EC" w:rsidRPr="007E7634">
        <w:t xml:space="preserve"> </w:t>
      </w:r>
      <w:r w:rsidR="000B34EC" w:rsidRPr="007E7634">
        <w:lastRenderedPageBreak/>
        <w:t>явля</w:t>
      </w:r>
      <w:r w:rsidR="00E3457F">
        <w:t>ю</w:t>
      </w:r>
      <w:r w:rsidR="000B34EC" w:rsidRPr="007E7634">
        <w:t xml:space="preserve">тся </w:t>
      </w:r>
      <w:r w:rsidR="007E7634" w:rsidRPr="007E7634">
        <w:t>приоритетным</w:t>
      </w:r>
      <w:r w:rsidR="00E3457F">
        <w:t>и</w:t>
      </w:r>
      <w:r w:rsidR="007E7634" w:rsidRPr="007E7634">
        <w:t>.</w:t>
      </w:r>
      <w:r>
        <w:t xml:space="preserve"> </w:t>
      </w:r>
      <w:r w:rsidR="00BB4E88">
        <w:t xml:space="preserve">За </w:t>
      </w:r>
      <w:r w:rsidR="002B5222">
        <w:t>указанный период</w:t>
      </w:r>
      <w:r w:rsidR="00BB4E88">
        <w:t xml:space="preserve"> проведено </w:t>
      </w:r>
      <w:r w:rsidR="002B5222">
        <w:t>шесть</w:t>
      </w:r>
      <w:r w:rsidR="00BB4E88">
        <w:t xml:space="preserve"> обязательных профилактических </w:t>
      </w:r>
      <w:r>
        <w:t>посещений</w:t>
      </w:r>
      <w:r w:rsidR="00BB4E88">
        <w:t xml:space="preserve"> организаций, осуществляющих управление многоквартирных жилых домов и приступивших к осуществлению деятельности не позднее чем в течение одного года с момента начала такой деятельности. Выдано 35 предостережений о недопустимости нарушений обязательных требований действующего законодательства.</w:t>
      </w:r>
    </w:p>
    <w:p w:rsidR="005C397A" w:rsidRDefault="00BB4E88" w:rsidP="00E3457F">
      <w:pPr>
        <w:autoSpaceDE w:val="0"/>
        <w:autoSpaceDN w:val="0"/>
        <w:adjustRightInd w:val="0"/>
        <w:ind w:firstLine="708"/>
        <w:jc w:val="both"/>
        <w:rPr>
          <w:snapToGrid w:val="0"/>
          <w:color w:val="auto"/>
          <w:szCs w:val="28"/>
        </w:rPr>
      </w:pPr>
      <w:r w:rsidRPr="00BB4E88">
        <w:rPr>
          <w:snapToGrid w:val="0"/>
          <w:color w:val="auto"/>
          <w:szCs w:val="28"/>
        </w:rPr>
        <w:t xml:space="preserve">Комитет </w:t>
      </w:r>
      <w:r>
        <w:rPr>
          <w:snapToGrid w:val="0"/>
          <w:color w:val="auto"/>
          <w:szCs w:val="28"/>
        </w:rPr>
        <w:t xml:space="preserve">также </w:t>
      </w:r>
      <w:r w:rsidRPr="00BB4E88">
        <w:rPr>
          <w:snapToGrid w:val="0"/>
          <w:color w:val="auto"/>
          <w:szCs w:val="28"/>
        </w:rPr>
        <w:t>осуществляет государственный контроль за деятельностью Н</w:t>
      </w:r>
      <w:r w:rsidRPr="00BB4E88">
        <w:rPr>
          <w:color w:val="auto"/>
          <w:szCs w:val="28"/>
        </w:rPr>
        <w:t xml:space="preserve">екоммерческого фонда </w:t>
      </w:r>
      <w:r>
        <w:rPr>
          <w:color w:val="auto"/>
          <w:szCs w:val="28"/>
        </w:rPr>
        <w:t>"</w:t>
      </w:r>
      <w:r w:rsidRPr="00BB4E88">
        <w:rPr>
          <w:color w:val="auto"/>
          <w:szCs w:val="28"/>
        </w:rPr>
        <w:t>Региональный оператор капитального ремонта многоквартирных домов Кабардино-Балкарской Республики</w:t>
      </w:r>
      <w:r>
        <w:rPr>
          <w:color w:val="auto"/>
          <w:szCs w:val="28"/>
        </w:rPr>
        <w:t>"</w:t>
      </w:r>
      <w:r w:rsidRPr="00BB4E88">
        <w:rPr>
          <w:color w:val="auto"/>
          <w:szCs w:val="28"/>
        </w:rPr>
        <w:t>.</w:t>
      </w:r>
      <w:r w:rsidR="00E3457F">
        <w:rPr>
          <w:snapToGrid w:val="0"/>
          <w:color w:val="auto"/>
          <w:szCs w:val="28"/>
        </w:rPr>
        <w:t xml:space="preserve"> </w:t>
      </w:r>
      <w:r w:rsidR="005C397A" w:rsidRPr="005C397A">
        <w:rPr>
          <w:snapToGrid w:val="0"/>
          <w:color w:val="auto"/>
          <w:szCs w:val="28"/>
        </w:rPr>
        <w:t>Уровень собираемости взносов на капитальный ремонт с 1 января 2015 года по 31 марта 2024 года состав</w:t>
      </w:r>
      <w:r w:rsidR="001A62DE">
        <w:rPr>
          <w:snapToGrid w:val="0"/>
          <w:color w:val="auto"/>
          <w:szCs w:val="28"/>
        </w:rPr>
        <w:t>ил</w:t>
      </w:r>
      <w:r w:rsidR="005C397A" w:rsidRPr="005C397A">
        <w:rPr>
          <w:snapToGrid w:val="0"/>
          <w:color w:val="auto"/>
          <w:szCs w:val="28"/>
        </w:rPr>
        <w:t xml:space="preserve"> 57,86 процента, в том числе за I квартал 2024 года - 106,11 процента. </w:t>
      </w:r>
    </w:p>
    <w:p w:rsidR="005C397A" w:rsidRPr="00BB4E88" w:rsidRDefault="005C397A" w:rsidP="005C397A">
      <w:pPr>
        <w:ind w:firstLine="708"/>
        <w:jc w:val="both"/>
        <w:rPr>
          <w:snapToGrid w:val="0"/>
          <w:color w:val="auto"/>
          <w:szCs w:val="28"/>
        </w:rPr>
      </w:pPr>
      <w:r>
        <w:rPr>
          <w:snapToGrid w:val="0"/>
          <w:color w:val="auto"/>
          <w:szCs w:val="28"/>
        </w:rPr>
        <w:t>В настоящее время</w:t>
      </w:r>
      <w:r w:rsidRPr="00BB4E88">
        <w:rPr>
          <w:snapToGrid w:val="0"/>
          <w:color w:val="auto"/>
          <w:szCs w:val="28"/>
        </w:rPr>
        <w:t xml:space="preserve"> </w:t>
      </w:r>
      <w:r>
        <w:rPr>
          <w:snapToGrid w:val="0"/>
          <w:color w:val="auto"/>
          <w:szCs w:val="28"/>
        </w:rPr>
        <w:t>в</w:t>
      </w:r>
      <w:r w:rsidRPr="00BB4E88">
        <w:rPr>
          <w:snapToGrid w:val="0"/>
          <w:color w:val="auto"/>
          <w:szCs w:val="28"/>
        </w:rPr>
        <w:t xml:space="preserve"> республик</w:t>
      </w:r>
      <w:r>
        <w:rPr>
          <w:snapToGrid w:val="0"/>
          <w:color w:val="auto"/>
          <w:szCs w:val="28"/>
        </w:rPr>
        <w:t>е</w:t>
      </w:r>
      <w:r w:rsidRPr="00BB4E88">
        <w:rPr>
          <w:snapToGrid w:val="0"/>
          <w:color w:val="auto"/>
          <w:szCs w:val="28"/>
        </w:rPr>
        <w:t xml:space="preserve"> действует 25 специальных счетов по формированию фонда капитального ремонта </w:t>
      </w:r>
      <w:r>
        <w:rPr>
          <w:snapToGrid w:val="0"/>
          <w:color w:val="auto"/>
          <w:szCs w:val="28"/>
        </w:rPr>
        <w:t>многоквартирных жилых домов</w:t>
      </w:r>
      <w:r w:rsidRPr="00BB4E88">
        <w:rPr>
          <w:snapToGrid w:val="0"/>
          <w:color w:val="auto"/>
          <w:szCs w:val="28"/>
        </w:rPr>
        <w:t>.</w:t>
      </w:r>
      <w:r>
        <w:rPr>
          <w:snapToGrid w:val="0"/>
          <w:color w:val="auto"/>
          <w:szCs w:val="28"/>
        </w:rPr>
        <w:t xml:space="preserve"> </w:t>
      </w:r>
      <w:r w:rsidRPr="00BB4E88">
        <w:rPr>
          <w:snapToGrid w:val="0"/>
          <w:color w:val="auto"/>
          <w:szCs w:val="28"/>
        </w:rPr>
        <w:t xml:space="preserve">Уровень собираемости взносов на капитальный ремонт владельцами </w:t>
      </w:r>
      <w:proofErr w:type="spellStart"/>
      <w:r w:rsidRPr="00BB4E88">
        <w:rPr>
          <w:snapToGrid w:val="0"/>
          <w:color w:val="auto"/>
          <w:szCs w:val="28"/>
        </w:rPr>
        <w:t>спе</w:t>
      </w:r>
      <w:proofErr w:type="spellEnd"/>
      <w:r>
        <w:rPr>
          <w:snapToGrid w:val="0"/>
          <w:color w:val="auto"/>
          <w:szCs w:val="28"/>
        </w:rPr>
        <w:t xml:space="preserve">-       </w:t>
      </w:r>
      <w:proofErr w:type="spellStart"/>
      <w:r w:rsidRPr="00BB4E88">
        <w:rPr>
          <w:snapToGrid w:val="0"/>
          <w:color w:val="auto"/>
          <w:szCs w:val="28"/>
        </w:rPr>
        <w:t>циальных</w:t>
      </w:r>
      <w:proofErr w:type="spellEnd"/>
      <w:r w:rsidRPr="00BB4E88">
        <w:rPr>
          <w:snapToGrid w:val="0"/>
          <w:color w:val="auto"/>
          <w:szCs w:val="28"/>
        </w:rPr>
        <w:t xml:space="preserve"> счетов за </w:t>
      </w:r>
      <w:r>
        <w:rPr>
          <w:snapToGrid w:val="0"/>
          <w:color w:val="auto"/>
          <w:szCs w:val="28"/>
        </w:rPr>
        <w:t xml:space="preserve">указанный </w:t>
      </w:r>
      <w:r w:rsidRPr="00BB4E88">
        <w:rPr>
          <w:snapToGrid w:val="0"/>
          <w:color w:val="auto"/>
          <w:szCs w:val="28"/>
        </w:rPr>
        <w:t>период составляет 72,7 процента.</w:t>
      </w:r>
    </w:p>
    <w:p w:rsidR="001B2CB3" w:rsidRPr="004C5156" w:rsidRDefault="001B2CB3" w:rsidP="001B2CB3">
      <w:pPr>
        <w:ind w:firstLine="708"/>
        <w:jc w:val="both"/>
        <w:rPr>
          <w:color w:val="auto"/>
        </w:rPr>
      </w:pPr>
      <w:r w:rsidRPr="004C5156">
        <w:rPr>
          <w:color w:val="auto"/>
        </w:rPr>
        <w:t>В 2024 году проведено пять заседаний лицензионной комиссии, на основании решений которой выдано девять лицензий на осуществление пред</w:t>
      </w:r>
      <w:r w:rsidR="003D2DBF">
        <w:rPr>
          <w:color w:val="auto"/>
        </w:rPr>
        <w:t xml:space="preserve">-     </w:t>
      </w:r>
      <w:proofErr w:type="spellStart"/>
      <w:r w:rsidRPr="004C5156">
        <w:rPr>
          <w:color w:val="auto"/>
        </w:rPr>
        <w:t>принимательской</w:t>
      </w:r>
      <w:proofErr w:type="spellEnd"/>
      <w:r w:rsidRPr="004C5156">
        <w:rPr>
          <w:color w:val="auto"/>
        </w:rPr>
        <w:t xml:space="preserve"> деятельности по управлению многоквартирными домами (всего с 2015 года выдана 161 лицензия). По итогам квалификационных экзаменов </w:t>
      </w:r>
      <w:r w:rsidR="00E3457F" w:rsidRPr="004C5156">
        <w:rPr>
          <w:color w:val="auto"/>
        </w:rPr>
        <w:t xml:space="preserve">руководителям управляющих компаний </w:t>
      </w:r>
      <w:r w:rsidRPr="004C5156">
        <w:rPr>
          <w:color w:val="auto"/>
        </w:rPr>
        <w:t xml:space="preserve">выдано семь </w:t>
      </w:r>
      <w:proofErr w:type="spellStart"/>
      <w:r w:rsidRPr="004C5156">
        <w:rPr>
          <w:color w:val="auto"/>
        </w:rPr>
        <w:t>квалифика</w:t>
      </w:r>
      <w:proofErr w:type="spellEnd"/>
      <w:r w:rsidR="003D2DBF">
        <w:rPr>
          <w:color w:val="auto"/>
        </w:rPr>
        <w:t xml:space="preserve">-         </w:t>
      </w:r>
      <w:proofErr w:type="spellStart"/>
      <w:r w:rsidRPr="004C5156">
        <w:rPr>
          <w:color w:val="auto"/>
        </w:rPr>
        <w:t>ционных</w:t>
      </w:r>
      <w:proofErr w:type="spellEnd"/>
      <w:r w:rsidRPr="004C5156">
        <w:rPr>
          <w:color w:val="auto"/>
        </w:rPr>
        <w:t xml:space="preserve"> аттестатов (с 2015 года - 262). Прекращено действие четырех лицензий (с 2015 года - 68).</w:t>
      </w:r>
    </w:p>
    <w:p w:rsidR="0091359F" w:rsidRPr="0091359F" w:rsidRDefault="0091359F" w:rsidP="0091359F">
      <w:pPr>
        <w:ind w:firstLine="709"/>
        <w:jc w:val="both"/>
        <w:rPr>
          <w:color w:val="auto"/>
          <w:szCs w:val="28"/>
        </w:rPr>
      </w:pPr>
      <w:r w:rsidRPr="0091359F">
        <w:rPr>
          <w:color w:val="auto"/>
          <w:szCs w:val="28"/>
        </w:rPr>
        <w:t>Важную роль в процессе снятия социальной напряженности играют про</w:t>
      </w:r>
      <w:r w:rsidRPr="0091359F">
        <w:rPr>
          <w:color w:val="auto"/>
          <w:szCs w:val="28"/>
        </w:rPr>
        <w:softHyphen/>
        <w:t>водимые руководством Комитета в рамках установленных полномочий выездные встречи с жителями республики по актуальным вопросам.</w:t>
      </w:r>
    </w:p>
    <w:p w:rsidR="0091359F" w:rsidRPr="0091359F" w:rsidRDefault="0091359F" w:rsidP="0091359F">
      <w:pPr>
        <w:ind w:firstLine="709"/>
        <w:jc w:val="both"/>
        <w:rPr>
          <w:color w:val="auto"/>
          <w:szCs w:val="28"/>
        </w:rPr>
      </w:pPr>
      <w:r w:rsidRPr="0091359F">
        <w:rPr>
          <w:color w:val="auto"/>
          <w:szCs w:val="28"/>
        </w:rPr>
        <w:t xml:space="preserve">С целью разъяснения изменений действующего законодательства проводятся семинары </w:t>
      </w:r>
      <w:r w:rsidR="00E3457F">
        <w:rPr>
          <w:color w:val="auto"/>
          <w:szCs w:val="28"/>
        </w:rPr>
        <w:t>для</w:t>
      </w:r>
      <w:r w:rsidRPr="0091359F">
        <w:rPr>
          <w:color w:val="auto"/>
          <w:szCs w:val="28"/>
        </w:rPr>
        <w:t xml:space="preserve"> руководител</w:t>
      </w:r>
      <w:r w:rsidR="00E3457F">
        <w:rPr>
          <w:color w:val="auto"/>
          <w:szCs w:val="28"/>
        </w:rPr>
        <w:t>ей</w:t>
      </w:r>
      <w:r w:rsidRPr="0091359F">
        <w:rPr>
          <w:color w:val="auto"/>
          <w:szCs w:val="28"/>
        </w:rPr>
        <w:t xml:space="preserve"> </w:t>
      </w:r>
      <w:r w:rsidR="00E3457F" w:rsidRPr="0091359F">
        <w:rPr>
          <w:color w:val="auto"/>
          <w:szCs w:val="28"/>
        </w:rPr>
        <w:t>ре</w:t>
      </w:r>
      <w:r w:rsidR="00E3457F">
        <w:rPr>
          <w:color w:val="auto"/>
          <w:szCs w:val="28"/>
        </w:rPr>
        <w:t>сурсоснабжающих организаций</w:t>
      </w:r>
      <w:r w:rsidR="00E3457F" w:rsidRPr="0091359F">
        <w:rPr>
          <w:color w:val="auto"/>
          <w:szCs w:val="28"/>
        </w:rPr>
        <w:t xml:space="preserve"> и </w:t>
      </w:r>
      <w:r w:rsidRPr="0091359F">
        <w:rPr>
          <w:color w:val="auto"/>
          <w:szCs w:val="28"/>
        </w:rPr>
        <w:t>организаций, осуществляющих управление многоквартирными жилыми домами</w:t>
      </w:r>
      <w:r w:rsidR="001B2CB3">
        <w:rPr>
          <w:color w:val="auto"/>
          <w:szCs w:val="28"/>
        </w:rPr>
        <w:t>.</w:t>
      </w:r>
    </w:p>
    <w:p w:rsidR="0091359F" w:rsidRPr="0091359F" w:rsidRDefault="00466117" w:rsidP="0091359F">
      <w:pPr>
        <w:autoSpaceDE w:val="0"/>
        <w:autoSpaceDN w:val="0"/>
        <w:adjustRightInd w:val="0"/>
        <w:ind w:firstLine="709"/>
        <w:jc w:val="both"/>
        <w:rPr>
          <w:bCs/>
          <w:color w:val="auto"/>
          <w:szCs w:val="28"/>
        </w:rPr>
      </w:pPr>
      <w:r>
        <w:rPr>
          <w:color w:val="auto"/>
          <w:szCs w:val="28"/>
        </w:rPr>
        <w:t>Для</w:t>
      </w:r>
      <w:r w:rsidR="0091359F" w:rsidRPr="0091359F">
        <w:rPr>
          <w:color w:val="auto"/>
          <w:szCs w:val="28"/>
        </w:rPr>
        <w:t xml:space="preserve"> повышения квалификации специалистов, осуществляющих региональный государственный жилищный надзор,</w:t>
      </w:r>
      <w:r w:rsidR="0091359F" w:rsidRPr="0091359F">
        <w:rPr>
          <w:bCs/>
          <w:color w:val="auto"/>
          <w:szCs w:val="28"/>
        </w:rPr>
        <w:t xml:space="preserve"> Комитетом на постоянной основе проводятся занятия с указанными должностными лицами, организовано методическое обеспечение их деятельности.</w:t>
      </w:r>
    </w:p>
    <w:p w:rsidR="000A6375" w:rsidRDefault="0091359F" w:rsidP="000A6375">
      <w:pPr>
        <w:ind w:firstLine="709"/>
        <w:jc w:val="both"/>
        <w:rPr>
          <w:color w:val="auto"/>
          <w:szCs w:val="28"/>
        </w:rPr>
      </w:pPr>
      <w:r w:rsidRPr="0091359F">
        <w:rPr>
          <w:color w:val="auto"/>
          <w:szCs w:val="28"/>
        </w:rPr>
        <w:t>Согласно представленному Центр</w:t>
      </w:r>
      <w:r>
        <w:rPr>
          <w:color w:val="auto"/>
          <w:szCs w:val="28"/>
        </w:rPr>
        <w:t>ом</w:t>
      </w:r>
      <w:r w:rsidRPr="0091359F">
        <w:rPr>
          <w:color w:val="auto"/>
          <w:szCs w:val="28"/>
        </w:rPr>
        <w:t xml:space="preserve"> управления регионом</w:t>
      </w:r>
      <w:r>
        <w:rPr>
          <w:color w:val="auto"/>
          <w:szCs w:val="28"/>
        </w:rPr>
        <w:t xml:space="preserve"> Кабардино-Балкарской Республики (ЦУР КБР) </w:t>
      </w:r>
      <w:r w:rsidRPr="0091359F">
        <w:rPr>
          <w:color w:val="auto"/>
          <w:szCs w:val="28"/>
        </w:rPr>
        <w:t>рейтингу региональных органов исполнительной власти и органов местного самоуправления по работе в социа</w:t>
      </w:r>
      <w:r>
        <w:rPr>
          <w:color w:val="auto"/>
          <w:szCs w:val="28"/>
        </w:rPr>
        <w:t>льных сетях в марте 2</w:t>
      </w:r>
      <w:r w:rsidRPr="0091359F">
        <w:rPr>
          <w:color w:val="auto"/>
          <w:szCs w:val="28"/>
        </w:rPr>
        <w:t xml:space="preserve">024 года, основанному на показателях, полученных за месяц, в том числе </w:t>
      </w:r>
      <w:r w:rsidR="001B2CB3">
        <w:rPr>
          <w:color w:val="auto"/>
          <w:szCs w:val="28"/>
        </w:rPr>
        <w:t>по качеству</w:t>
      </w:r>
      <w:r w:rsidRPr="0091359F">
        <w:rPr>
          <w:color w:val="auto"/>
          <w:szCs w:val="28"/>
        </w:rPr>
        <w:t xml:space="preserve"> ответов на обращения граждан в социальных сетях, среднего времени обработки обращений и качества ведения социальных сетей, первое место разделили Комитет и Мин</w:t>
      </w:r>
      <w:r>
        <w:rPr>
          <w:color w:val="auto"/>
          <w:szCs w:val="28"/>
        </w:rPr>
        <w:t xml:space="preserve">истерство </w:t>
      </w:r>
      <w:r w:rsidRPr="0091359F">
        <w:rPr>
          <w:color w:val="auto"/>
          <w:szCs w:val="28"/>
        </w:rPr>
        <w:t>здрав</w:t>
      </w:r>
      <w:r>
        <w:rPr>
          <w:color w:val="auto"/>
          <w:szCs w:val="28"/>
        </w:rPr>
        <w:t>оохранения</w:t>
      </w:r>
      <w:r w:rsidRPr="0091359F">
        <w:rPr>
          <w:color w:val="auto"/>
          <w:szCs w:val="28"/>
        </w:rPr>
        <w:t xml:space="preserve"> </w:t>
      </w:r>
      <w:r>
        <w:rPr>
          <w:color w:val="auto"/>
          <w:szCs w:val="28"/>
        </w:rPr>
        <w:t>Кабардино-Балкарской Республики</w:t>
      </w:r>
      <w:r w:rsidRPr="0091359F">
        <w:rPr>
          <w:color w:val="auto"/>
          <w:szCs w:val="28"/>
        </w:rPr>
        <w:t>.</w:t>
      </w:r>
    </w:p>
    <w:p w:rsidR="00B363AC" w:rsidRPr="00311437" w:rsidRDefault="00B363AC" w:rsidP="000A6375">
      <w:pPr>
        <w:ind w:firstLine="709"/>
        <w:jc w:val="both"/>
      </w:pPr>
      <w:r w:rsidRPr="00311437">
        <w:t xml:space="preserve">Вместе с тем остается нерешенным вопрос </w:t>
      </w:r>
      <w:r w:rsidR="00670B02" w:rsidRPr="00311437">
        <w:t>управления многоквартирными домами</w:t>
      </w:r>
      <w:r w:rsidR="00E3457F">
        <w:t>,</w:t>
      </w:r>
      <w:r w:rsidR="00670B02" w:rsidRPr="00311437">
        <w:t xml:space="preserve"> в отношении которых собственниками не выбран способ управ</w:t>
      </w:r>
      <w:r w:rsidR="00670B02" w:rsidRPr="00311437">
        <w:lastRenderedPageBreak/>
        <w:t xml:space="preserve">ления таким домом или выбранный способ управления не реализован, не определена управляющая </w:t>
      </w:r>
      <w:r w:rsidR="00670B02" w:rsidRPr="00670B02">
        <w:t xml:space="preserve">организация, в том числе по причине признания </w:t>
      </w:r>
      <w:proofErr w:type="spellStart"/>
      <w:proofErr w:type="gramStart"/>
      <w:r w:rsidR="00670B02" w:rsidRPr="00670B02">
        <w:t>несо</w:t>
      </w:r>
      <w:r w:rsidR="00466117">
        <w:t>-</w:t>
      </w:r>
      <w:r w:rsidR="00670B02" w:rsidRPr="00670B02">
        <w:t>стоявшимся</w:t>
      </w:r>
      <w:proofErr w:type="spellEnd"/>
      <w:proofErr w:type="gramEnd"/>
      <w:r w:rsidR="00670B02" w:rsidRPr="00670B02">
        <w:t xml:space="preserve"> открытого конкурса по отбору управляющей организации, проводимого органом местного самоуправления</w:t>
      </w:r>
      <w:r w:rsidR="00670B02" w:rsidRPr="00311437">
        <w:t xml:space="preserve">. </w:t>
      </w:r>
      <w:r w:rsidR="001732DB" w:rsidRPr="00311437">
        <w:t>Последствия</w:t>
      </w:r>
      <w:r w:rsidR="001732DB">
        <w:t>ми</w:t>
      </w:r>
      <w:r w:rsidR="001732DB" w:rsidRPr="00311437">
        <w:t xml:space="preserve"> </w:t>
      </w:r>
      <w:r w:rsidR="00670B02" w:rsidRPr="00311437">
        <w:t xml:space="preserve">такой ситуации </w:t>
      </w:r>
      <w:r w:rsidR="001732DB">
        <w:t xml:space="preserve">являются </w:t>
      </w:r>
      <w:r w:rsidR="00670B02" w:rsidRPr="00311437">
        <w:t>сверхнормативный износ основных конструктивных элементов и коммуникаций многоквартирных жилых домов, увеличение частоты аварий систем водоснабжения, водоотведения, электроснабжения, насосного оборудования и лифтового хозяйства.</w:t>
      </w:r>
    </w:p>
    <w:p w:rsidR="000A6375" w:rsidRPr="000A6375" w:rsidRDefault="000C3712" w:rsidP="000B6F25">
      <w:pPr>
        <w:ind w:firstLine="709"/>
        <w:jc w:val="both"/>
        <w:rPr>
          <w:rFonts w:eastAsia="Times New Roman"/>
          <w:b/>
          <w:color w:val="auto"/>
          <w:szCs w:val="28"/>
          <w:lang w:eastAsia="ru-RU"/>
        </w:rPr>
      </w:pPr>
      <w:r w:rsidRPr="001732DB">
        <w:t xml:space="preserve"> </w:t>
      </w:r>
      <w:r w:rsidR="000A6375" w:rsidRPr="001732DB">
        <w:t>Учитывая изложенное, президиум Парламента Кабардино-Балкарской Рес</w:t>
      </w:r>
      <w:r w:rsidR="000A6375" w:rsidRPr="001732DB">
        <w:softHyphen/>
        <w:t xml:space="preserve">публики </w:t>
      </w:r>
      <w:r w:rsidR="000A6375" w:rsidRPr="000A6375">
        <w:rPr>
          <w:rFonts w:eastAsia="Times New Roman"/>
          <w:b/>
          <w:color w:val="auto"/>
          <w:szCs w:val="28"/>
          <w:lang w:eastAsia="ru-RU"/>
        </w:rPr>
        <w:t>решает:</w:t>
      </w:r>
    </w:p>
    <w:p w:rsidR="000A6375" w:rsidRPr="000A6375" w:rsidRDefault="000A6375" w:rsidP="000A6375">
      <w:pPr>
        <w:keepNext/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color w:val="auto"/>
          <w:szCs w:val="28"/>
          <w:lang w:eastAsia="ru-RU"/>
        </w:rPr>
      </w:pPr>
    </w:p>
    <w:p w:rsidR="000A6375" w:rsidRPr="001732DB" w:rsidRDefault="000A6375" w:rsidP="000A6375">
      <w:pPr>
        <w:ind w:firstLine="708"/>
        <w:jc w:val="both"/>
      </w:pPr>
      <w:r w:rsidRPr="001732DB">
        <w:t xml:space="preserve">1. Принять к сведению </w:t>
      </w:r>
      <w:r w:rsidRPr="009240F5">
        <w:t xml:space="preserve">информацию </w:t>
      </w:r>
      <w:r>
        <w:rPr>
          <w:lang w:eastAsia="ru-RU"/>
        </w:rPr>
        <w:t>исполняющего обязанности председателя Государственного</w:t>
      </w:r>
      <w:r w:rsidRPr="009240F5">
        <w:t xml:space="preserve"> </w:t>
      </w:r>
      <w:r w:rsidRPr="00A94C32">
        <w:t>комитет</w:t>
      </w:r>
      <w:r>
        <w:t>а</w:t>
      </w:r>
      <w:r w:rsidRPr="00A94C32">
        <w:t xml:space="preserve"> Кабардино-Балкарской Республики </w:t>
      </w:r>
      <w:r>
        <w:t>п</w:t>
      </w:r>
      <w:r w:rsidRPr="00A94C32">
        <w:t>о тарифам и жилищному надзору</w:t>
      </w:r>
      <w:r w:rsidRPr="009240F5">
        <w:t xml:space="preserve"> </w:t>
      </w:r>
      <w:r>
        <w:t xml:space="preserve">А.А. </w:t>
      </w:r>
      <w:proofErr w:type="spellStart"/>
      <w:r>
        <w:t>Макуашева</w:t>
      </w:r>
      <w:proofErr w:type="spellEnd"/>
      <w:r>
        <w:t xml:space="preserve"> </w:t>
      </w:r>
      <w:r w:rsidRPr="009240F5">
        <w:t>о</w:t>
      </w:r>
      <w:r w:rsidRPr="000A6375">
        <w:rPr>
          <w:lang w:eastAsia="ru-RU"/>
        </w:rPr>
        <w:t>б организации государственного жилищного надзора и лицензирования деятельности по управлению многоквартирными домами в Кабардино-Балкарской Республике</w:t>
      </w:r>
      <w:r w:rsidRPr="001732DB">
        <w:t>.</w:t>
      </w:r>
    </w:p>
    <w:p w:rsidR="000A6375" w:rsidRPr="00AE3ECF" w:rsidRDefault="00AE3ECF" w:rsidP="00AE3ECF">
      <w:pPr>
        <w:tabs>
          <w:tab w:val="left" w:pos="4350"/>
        </w:tabs>
        <w:ind w:firstLine="708"/>
        <w:jc w:val="both"/>
        <w:rPr>
          <w:rFonts w:eastAsia="Times New Roman"/>
          <w:color w:val="auto"/>
          <w:szCs w:val="28"/>
          <w:lang w:eastAsia="ru-RU"/>
        </w:rPr>
      </w:pPr>
      <w:r w:rsidRPr="001732DB">
        <w:t xml:space="preserve">2. Рекомендовать </w:t>
      </w:r>
      <w:r w:rsidR="000A6375">
        <w:rPr>
          <w:lang w:eastAsia="ru-RU"/>
        </w:rPr>
        <w:t>Государственно</w:t>
      </w:r>
      <w:r w:rsidR="000A6375">
        <w:t>му</w:t>
      </w:r>
      <w:r w:rsidR="000A6375" w:rsidRPr="009240F5">
        <w:t xml:space="preserve"> </w:t>
      </w:r>
      <w:r w:rsidR="000A6375" w:rsidRPr="00A94C32">
        <w:t>комитет</w:t>
      </w:r>
      <w:r w:rsidR="000A6375">
        <w:t>у</w:t>
      </w:r>
      <w:r w:rsidR="000A6375" w:rsidRPr="00A94C32">
        <w:t xml:space="preserve"> Кабардино-Балкарской Республики </w:t>
      </w:r>
      <w:r w:rsidR="000A6375">
        <w:t>п</w:t>
      </w:r>
      <w:r w:rsidR="000A6375" w:rsidRPr="00A94C32">
        <w:t>о тарифам и жилищному надзору</w:t>
      </w:r>
      <w:r w:rsidR="000A6375" w:rsidRPr="000A6375">
        <w:rPr>
          <w:rFonts w:eastAsia="Calibri"/>
          <w:color w:val="auto"/>
          <w:szCs w:val="28"/>
        </w:rPr>
        <w:t>:</w:t>
      </w:r>
    </w:p>
    <w:p w:rsidR="00311437" w:rsidRPr="00311437" w:rsidRDefault="000A6375" w:rsidP="00BB0C50">
      <w:pPr>
        <w:ind w:firstLine="708"/>
        <w:jc w:val="both"/>
        <w:rPr>
          <w:rFonts w:eastAsia="Calibri"/>
          <w:color w:val="auto"/>
          <w:szCs w:val="28"/>
        </w:rPr>
      </w:pPr>
      <w:r w:rsidRPr="000A6375">
        <w:rPr>
          <w:rFonts w:eastAsia="Calibri"/>
          <w:color w:val="auto"/>
          <w:szCs w:val="28"/>
        </w:rPr>
        <w:t xml:space="preserve">а) </w:t>
      </w:r>
      <w:r w:rsidR="00311437">
        <w:rPr>
          <w:rFonts w:eastAsia="Calibri"/>
          <w:color w:val="auto"/>
          <w:szCs w:val="28"/>
        </w:rPr>
        <w:t xml:space="preserve">принять исчерпывающие меры по снижению доли многоквартирных жилых домов, </w:t>
      </w:r>
      <w:r w:rsidR="00311437" w:rsidRPr="00311437">
        <w:rPr>
          <w:rFonts w:eastAsia="Calibri"/>
          <w:color w:val="auto"/>
          <w:szCs w:val="28"/>
        </w:rPr>
        <w:t>в отношении которых собственниками не выбран способ управления таким домом или выбранный способ управления не реализован</w:t>
      </w:r>
      <w:r w:rsidR="00311437">
        <w:rPr>
          <w:rFonts w:eastAsia="Calibri"/>
          <w:color w:val="auto"/>
          <w:szCs w:val="28"/>
        </w:rPr>
        <w:t>;</w:t>
      </w:r>
    </w:p>
    <w:p w:rsidR="00BB0C50" w:rsidRDefault="00311437" w:rsidP="00BB0C50">
      <w:pPr>
        <w:ind w:firstLine="708"/>
        <w:jc w:val="both"/>
        <w:rPr>
          <w:rFonts w:eastAsia="Calibri"/>
          <w:color w:val="auto"/>
          <w:szCs w:val="28"/>
        </w:rPr>
      </w:pPr>
      <w:r>
        <w:rPr>
          <w:rFonts w:eastAsia="Calibri"/>
          <w:color w:val="auto"/>
          <w:szCs w:val="28"/>
        </w:rPr>
        <w:t xml:space="preserve">б) </w:t>
      </w:r>
      <w:r w:rsidR="00EE09C4">
        <w:rPr>
          <w:rFonts w:eastAsia="Calibri"/>
          <w:color w:val="auto"/>
          <w:szCs w:val="28"/>
        </w:rPr>
        <w:t xml:space="preserve">обеспечить своевременное и всестороннее проведение </w:t>
      </w:r>
      <w:r w:rsidR="00AE3ECF">
        <w:rPr>
          <w:rFonts w:eastAsia="Calibri"/>
          <w:color w:val="auto"/>
          <w:szCs w:val="28"/>
        </w:rPr>
        <w:t>контрольно-надзорных мероприятий за</w:t>
      </w:r>
      <w:r w:rsidR="00845A3C">
        <w:rPr>
          <w:rFonts w:eastAsia="Calibri"/>
          <w:color w:val="auto"/>
          <w:szCs w:val="28"/>
        </w:rPr>
        <w:t xml:space="preserve"> </w:t>
      </w:r>
      <w:r w:rsidR="00EE09C4" w:rsidRPr="00EE09C4">
        <w:rPr>
          <w:rFonts w:eastAsia="Calibri"/>
          <w:color w:val="auto"/>
          <w:szCs w:val="28"/>
        </w:rPr>
        <w:t>соблюдени</w:t>
      </w:r>
      <w:r w:rsidR="00AE3ECF">
        <w:rPr>
          <w:rFonts w:eastAsia="Calibri"/>
          <w:color w:val="auto"/>
          <w:szCs w:val="28"/>
        </w:rPr>
        <w:t>ем</w:t>
      </w:r>
      <w:r w:rsidR="00EE09C4" w:rsidRPr="00EE09C4">
        <w:rPr>
          <w:rFonts w:eastAsia="Calibri"/>
          <w:color w:val="auto"/>
          <w:szCs w:val="28"/>
        </w:rPr>
        <w:t xml:space="preserve"> юридическими лицами, </w:t>
      </w:r>
      <w:proofErr w:type="spellStart"/>
      <w:r w:rsidR="00EE09C4" w:rsidRPr="00EE09C4">
        <w:rPr>
          <w:rFonts w:eastAsia="Calibri"/>
          <w:color w:val="auto"/>
          <w:szCs w:val="28"/>
        </w:rPr>
        <w:t>индиви</w:t>
      </w:r>
      <w:proofErr w:type="spellEnd"/>
      <w:r w:rsidR="001B2CB3">
        <w:rPr>
          <w:rFonts w:eastAsia="Calibri"/>
          <w:color w:val="auto"/>
          <w:szCs w:val="28"/>
        </w:rPr>
        <w:t xml:space="preserve">-       </w:t>
      </w:r>
      <w:r w:rsidR="00EE09C4" w:rsidRPr="00EE09C4">
        <w:rPr>
          <w:rFonts w:eastAsia="Calibri"/>
          <w:color w:val="auto"/>
          <w:szCs w:val="28"/>
        </w:rPr>
        <w:t xml:space="preserve">дуальными предпринимателями </w:t>
      </w:r>
      <w:r w:rsidR="00AE3ECF">
        <w:rPr>
          <w:rFonts w:eastAsia="Calibri"/>
          <w:color w:val="auto"/>
          <w:szCs w:val="28"/>
        </w:rPr>
        <w:t>лицензионных требований,</w:t>
      </w:r>
      <w:r w:rsidR="00AE3ECF" w:rsidRPr="00EE09C4">
        <w:rPr>
          <w:rFonts w:eastAsia="Calibri"/>
          <w:color w:val="auto"/>
          <w:szCs w:val="28"/>
        </w:rPr>
        <w:t xml:space="preserve"> </w:t>
      </w:r>
      <w:r w:rsidR="00EE09C4" w:rsidRPr="00EE09C4">
        <w:rPr>
          <w:rFonts w:eastAsia="Calibri"/>
          <w:color w:val="auto"/>
          <w:szCs w:val="28"/>
        </w:rPr>
        <w:t>обязательных требований, установле</w:t>
      </w:r>
      <w:r w:rsidR="00EE09C4">
        <w:rPr>
          <w:rFonts w:eastAsia="Calibri"/>
          <w:color w:val="auto"/>
          <w:szCs w:val="28"/>
        </w:rPr>
        <w:t>нных жилищным законодательством</w:t>
      </w:r>
      <w:r w:rsidR="00AE3ECF">
        <w:rPr>
          <w:rFonts w:eastAsia="Calibri"/>
          <w:color w:val="auto"/>
          <w:szCs w:val="28"/>
        </w:rPr>
        <w:t xml:space="preserve"> </w:t>
      </w:r>
      <w:r w:rsidR="00EE09C4">
        <w:rPr>
          <w:rFonts w:eastAsia="Calibri"/>
          <w:color w:val="auto"/>
          <w:szCs w:val="28"/>
        </w:rPr>
        <w:t>и</w:t>
      </w:r>
      <w:r w:rsidR="00EE09C4" w:rsidRPr="00EE09C4">
        <w:rPr>
          <w:rFonts w:eastAsia="Calibri"/>
          <w:color w:val="auto"/>
          <w:szCs w:val="28"/>
        </w:rPr>
        <w:t xml:space="preserve"> законодательством об энергосбережении и о повышении энергетической эффективности</w:t>
      </w:r>
      <w:r w:rsidR="00EE09C4">
        <w:rPr>
          <w:rFonts w:eastAsia="Calibri"/>
          <w:color w:val="auto"/>
          <w:szCs w:val="28"/>
        </w:rPr>
        <w:t>;</w:t>
      </w:r>
    </w:p>
    <w:p w:rsidR="00545D59" w:rsidRDefault="00311437" w:rsidP="00545D59">
      <w:pPr>
        <w:ind w:firstLine="708"/>
        <w:jc w:val="both"/>
        <w:rPr>
          <w:rFonts w:eastAsia="Calibri"/>
          <w:color w:val="auto"/>
          <w:szCs w:val="28"/>
        </w:rPr>
      </w:pPr>
      <w:r>
        <w:rPr>
          <w:rFonts w:eastAsia="Calibri"/>
          <w:color w:val="auto"/>
          <w:szCs w:val="28"/>
        </w:rPr>
        <w:t>в)</w:t>
      </w:r>
      <w:r w:rsidR="00545D59">
        <w:rPr>
          <w:rFonts w:eastAsia="Calibri"/>
          <w:color w:val="auto"/>
          <w:szCs w:val="28"/>
        </w:rPr>
        <w:t xml:space="preserve"> обеспечить </w:t>
      </w:r>
      <w:r w:rsidR="00545D59" w:rsidRPr="00845A3C">
        <w:rPr>
          <w:rFonts w:eastAsia="Calibri"/>
          <w:color w:val="auto"/>
          <w:szCs w:val="28"/>
        </w:rPr>
        <w:t>выявление и снижение количества типичных нарушений обязательных требований</w:t>
      </w:r>
      <w:r w:rsidR="00545D59">
        <w:rPr>
          <w:rFonts w:eastAsia="Calibri"/>
          <w:color w:val="auto"/>
          <w:szCs w:val="28"/>
        </w:rPr>
        <w:t xml:space="preserve"> жилищного</w:t>
      </w:r>
      <w:r w:rsidR="00545D59" w:rsidRPr="00845A3C">
        <w:rPr>
          <w:rFonts w:eastAsia="Calibri"/>
          <w:color w:val="auto"/>
          <w:szCs w:val="28"/>
        </w:rPr>
        <w:t xml:space="preserve"> </w:t>
      </w:r>
      <w:r w:rsidR="00545D59">
        <w:rPr>
          <w:rFonts w:eastAsia="Calibri"/>
          <w:color w:val="auto"/>
          <w:szCs w:val="28"/>
        </w:rPr>
        <w:t xml:space="preserve">законодательства </w:t>
      </w:r>
      <w:r w:rsidR="00545D59" w:rsidRPr="00845A3C">
        <w:rPr>
          <w:rFonts w:eastAsia="Calibri"/>
          <w:color w:val="auto"/>
          <w:szCs w:val="28"/>
        </w:rPr>
        <w:t xml:space="preserve">за счет </w:t>
      </w:r>
      <w:r w:rsidR="00545D59">
        <w:rPr>
          <w:rFonts w:eastAsia="Calibri"/>
          <w:color w:val="auto"/>
          <w:szCs w:val="28"/>
        </w:rPr>
        <w:t>повышения</w:t>
      </w:r>
      <w:r w:rsidR="00545D59" w:rsidRPr="00845A3C">
        <w:rPr>
          <w:rFonts w:eastAsia="Calibri"/>
          <w:color w:val="auto"/>
          <w:szCs w:val="28"/>
        </w:rPr>
        <w:t xml:space="preserve"> </w:t>
      </w:r>
      <w:r w:rsidR="00545D59">
        <w:rPr>
          <w:rFonts w:eastAsia="Calibri"/>
          <w:color w:val="auto"/>
          <w:szCs w:val="28"/>
        </w:rPr>
        <w:t xml:space="preserve">уровня </w:t>
      </w:r>
      <w:r w:rsidR="00545D59" w:rsidRPr="00845A3C">
        <w:rPr>
          <w:rFonts w:eastAsia="Calibri"/>
          <w:color w:val="auto"/>
          <w:szCs w:val="28"/>
        </w:rPr>
        <w:t>информированности контролируемых лиц о практике примен</w:t>
      </w:r>
      <w:r w:rsidR="00545D59">
        <w:rPr>
          <w:rFonts w:eastAsia="Calibri"/>
          <w:color w:val="auto"/>
          <w:szCs w:val="28"/>
        </w:rPr>
        <w:t>ения обязательных требований и</w:t>
      </w:r>
      <w:r w:rsidR="00545D59" w:rsidRPr="00845A3C">
        <w:rPr>
          <w:rFonts w:eastAsia="Calibri"/>
          <w:color w:val="auto"/>
          <w:szCs w:val="28"/>
        </w:rPr>
        <w:t xml:space="preserve"> выявлени</w:t>
      </w:r>
      <w:r w:rsidR="00545D59">
        <w:rPr>
          <w:rFonts w:eastAsia="Calibri"/>
          <w:color w:val="auto"/>
          <w:szCs w:val="28"/>
        </w:rPr>
        <w:t>я</w:t>
      </w:r>
      <w:r w:rsidR="00545D59" w:rsidRPr="00845A3C">
        <w:rPr>
          <w:rFonts w:eastAsia="Calibri"/>
          <w:color w:val="auto"/>
          <w:szCs w:val="28"/>
        </w:rPr>
        <w:t xml:space="preserve"> проблемных вопросов применения подконтрольными субъектами обязательных требований</w:t>
      </w:r>
      <w:r w:rsidR="00545D59">
        <w:rPr>
          <w:rFonts w:eastAsia="Calibri"/>
          <w:color w:val="auto"/>
          <w:szCs w:val="28"/>
        </w:rPr>
        <w:t>.</w:t>
      </w:r>
    </w:p>
    <w:p w:rsidR="000A6375" w:rsidRPr="00545D59" w:rsidRDefault="000A6375" w:rsidP="00545D59">
      <w:pPr>
        <w:ind w:firstLine="708"/>
        <w:jc w:val="both"/>
        <w:rPr>
          <w:rFonts w:eastAsia="Calibri"/>
          <w:color w:val="auto"/>
          <w:szCs w:val="28"/>
        </w:rPr>
      </w:pPr>
      <w:r w:rsidRPr="000A6375">
        <w:rPr>
          <w:rFonts w:eastAsia="Times New Roman"/>
          <w:color w:val="auto"/>
          <w:szCs w:val="28"/>
          <w:lang w:eastAsia="ru-RU"/>
        </w:rPr>
        <w:t>3. Контроль за исполнением настоящего решения возложить на Комитет Парламента Кабардино-Балкарской Республики по строительству, жилищно-ком</w:t>
      </w:r>
      <w:r w:rsidRPr="000A6375">
        <w:rPr>
          <w:rFonts w:eastAsia="Times New Roman"/>
          <w:color w:val="auto"/>
          <w:szCs w:val="28"/>
          <w:lang w:eastAsia="ru-RU"/>
        </w:rPr>
        <w:softHyphen/>
        <w:t>мунальному хозяйству и топливно-энергетическому комплексу.</w:t>
      </w:r>
    </w:p>
    <w:p w:rsidR="000A6375" w:rsidRPr="000A6375" w:rsidRDefault="000A6375" w:rsidP="000A6375">
      <w:pPr>
        <w:ind w:firstLine="763"/>
        <w:jc w:val="both"/>
        <w:rPr>
          <w:rFonts w:eastAsia="Times New Roman"/>
          <w:color w:val="auto"/>
          <w:szCs w:val="28"/>
          <w:lang w:eastAsia="ru-RU"/>
        </w:rPr>
      </w:pPr>
    </w:p>
    <w:p w:rsidR="000A6375" w:rsidRPr="000A6375" w:rsidRDefault="000A6375" w:rsidP="000A6375">
      <w:pPr>
        <w:ind w:firstLine="763"/>
        <w:jc w:val="both"/>
        <w:rPr>
          <w:rFonts w:eastAsia="Times New Roman"/>
          <w:color w:val="auto"/>
          <w:szCs w:val="28"/>
          <w:lang w:eastAsia="ru-RU"/>
        </w:rPr>
      </w:pPr>
    </w:p>
    <w:p w:rsidR="000A6375" w:rsidRPr="000A6375" w:rsidRDefault="000A6375" w:rsidP="000A6375">
      <w:pPr>
        <w:jc w:val="both"/>
        <w:rPr>
          <w:rFonts w:eastAsia="Times New Roman"/>
          <w:color w:val="auto"/>
          <w:szCs w:val="28"/>
          <w:lang w:eastAsia="ru-RU"/>
        </w:rPr>
      </w:pPr>
      <w:r w:rsidRPr="000A6375">
        <w:rPr>
          <w:rFonts w:eastAsia="Times New Roman"/>
          <w:color w:val="auto"/>
          <w:szCs w:val="28"/>
          <w:lang w:eastAsia="ru-RU"/>
        </w:rPr>
        <w:t xml:space="preserve">        Председатель Парламента </w:t>
      </w:r>
    </w:p>
    <w:p w:rsidR="000A6375" w:rsidRPr="000A6375" w:rsidRDefault="000A6375" w:rsidP="007A4269">
      <w:pPr>
        <w:jc w:val="both"/>
        <w:rPr>
          <w:color w:val="auto"/>
          <w:szCs w:val="28"/>
        </w:rPr>
      </w:pPr>
      <w:r w:rsidRPr="00E3457F">
        <w:t xml:space="preserve">Кабардино-Балкарской Республики </w:t>
      </w:r>
      <w:r w:rsidRPr="00E3457F">
        <w:tab/>
      </w:r>
      <w:r w:rsidRPr="00E3457F">
        <w:tab/>
      </w:r>
      <w:r w:rsidRPr="00E3457F">
        <w:tab/>
      </w:r>
      <w:r w:rsidRPr="00E3457F">
        <w:tab/>
      </w:r>
      <w:r w:rsidRPr="00E3457F">
        <w:rPr>
          <w:color w:val="auto"/>
        </w:rPr>
        <w:tab/>
      </w:r>
      <w:r w:rsidR="007A4269">
        <w:rPr>
          <w:color w:val="auto"/>
        </w:rPr>
        <w:t xml:space="preserve">    </w:t>
      </w:r>
      <w:r w:rsidRPr="00E3457F">
        <w:rPr>
          <w:rFonts w:eastAsia="Times New Roman"/>
          <w:color w:val="auto"/>
          <w:szCs w:val="28"/>
          <w:lang w:eastAsia="ru-RU"/>
        </w:rPr>
        <w:t>Т. Егорова</w:t>
      </w:r>
    </w:p>
    <w:sectPr w:rsidR="000A6375" w:rsidRPr="000A6375" w:rsidSect="005F5C35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C35" w:rsidRDefault="005F5C35" w:rsidP="005F5C35">
      <w:r>
        <w:separator/>
      </w:r>
    </w:p>
  </w:endnote>
  <w:endnote w:type="continuationSeparator" w:id="0">
    <w:p w:rsidR="005F5C35" w:rsidRDefault="005F5C35" w:rsidP="005F5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C35" w:rsidRDefault="005F5C35" w:rsidP="005F5C35">
      <w:r>
        <w:separator/>
      </w:r>
    </w:p>
  </w:footnote>
  <w:footnote w:type="continuationSeparator" w:id="0">
    <w:p w:rsidR="005F5C35" w:rsidRDefault="005F5C35" w:rsidP="005F5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6607860"/>
      <w:docPartObj>
        <w:docPartGallery w:val="Page Numbers (Top of Page)"/>
        <w:docPartUnique/>
      </w:docPartObj>
    </w:sdtPr>
    <w:sdtEndPr/>
    <w:sdtContent>
      <w:p w:rsidR="005F5C35" w:rsidRDefault="005F5C3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121D">
          <w:rPr>
            <w:noProof/>
          </w:rPr>
          <w:t>3</w:t>
        </w:r>
        <w:r>
          <w:fldChar w:fldCharType="end"/>
        </w:r>
      </w:p>
    </w:sdtContent>
  </w:sdt>
  <w:p w:rsidR="005F5C35" w:rsidRDefault="005F5C3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53B6E"/>
    <w:multiLevelType w:val="hybridMultilevel"/>
    <w:tmpl w:val="47A851A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151"/>
    <w:rsid w:val="000A6375"/>
    <w:rsid w:val="000B34EC"/>
    <w:rsid w:val="000B6F25"/>
    <w:rsid w:val="000C3712"/>
    <w:rsid w:val="0011121D"/>
    <w:rsid w:val="001732DB"/>
    <w:rsid w:val="001A62DE"/>
    <w:rsid w:val="001B2CB3"/>
    <w:rsid w:val="002B5222"/>
    <w:rsid w:val="002C744E"/>
    <w:rsid w:val="00311437"/>
    <w:rsid w:val="003A5E8B"/>
    <w:rsid w:val="003D2DBF"/>
    <w:rsid w:val="00466117"/>
    <w:rsid w:val="00504110"/>
    <w:rsid w:val="005337C0"/>
    <w:rsid w:val="00545D59"/>
    <w:rsid w:val="0059210A"/>
    <w:rsid w:val="005C397A"/>
    <w:rsid w:val="005F5C35"/>
    <w:rsid w:val="00670B02"/>
    <w:rsid w:val="00772164"/>
    <w:rsid w:val="00775DE2"/>
    <w:rsid w:val="007A4269"/>
    <w:rsid w:val="007E7634"/>
    <w:rsid w:val="00845A3C"/>
    <w:rsid w:val="0091359F"/>
    <w:rsid w:val="00AE3ECF"/>
    <w:rsid w:val="00B363AC"/>
    <w:rsid w:val="00BB0C50"/>
    <w:rsid w:val="00BB4E88"/>
    <w:rsid w:val="00BB7151"/>
    <w:rsid w:val="00BD78D6"/>
    <w:rsid w:val="00C912A2"/>
    <w:rsid w:val="00C96C68"/>
    <w:rsid w:val="00CB2F00"/>
    <w:rsid w:val="00CC4B3E"/>
    <w:rsid w:val="00D86480"/>
    <w:rsid w:val="00DF3FF6"/>
    <w:rsid w:val="00E3457F"/>
    <w:rsid w:val="00EE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956F9"/>
  <w15:chartTrackingRefBased/>
  <w15:docId w15:val="{96B4865E-76B4-4EDA-9E50-9219D6340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5C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F5C35"/>
  </w:style>
  <w:style w:type="paragraph" w:styleId="a5">
    <w:name w:val="footer"/>
    <w:basedOn w:val="a"/>
    <w:link w:val="a6"/>
    <w:uiPriority w:val="99"/>
    <w:unhideWhenUsed/>
    <w:rsid w:val="005F5C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F5C35"/>
  </w:style>
  <w:style w:type="paragraph" w:styleId="a7">
    <w:name w:val="Balloon Text"/>
    <w:basedOn w:val="a"/>
    <w:link w:val="a8"/>
    <w:uiPriority w:val="99"/>
    <w:semiHidden/>
    <w:unhideWhenUsed/>
    <w:rsid w:val="000C371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C37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4FCA8-2840-4642-AFBE-5FE379289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3</Pages>
  <Words>1069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ConsKomStroi</dc:creator>
  <cp:keywords/>
  <dc:description/>
  <cp:lastModifiedBy>KomStroi</cp:lastModifiedBy>
  <cp:revision>29</cp:revision>
  <cp:lastPrinted>2024-06-20T07:53:00Z</cp:lastPrinted>
  <dcterms:created xsi:type="dcterms:W3CDTF">2024-05-02T13:29:00Z</dcterms:created>
  <dcterms:modified xsi:type="dcterms:W3CDTF">2024-06-20T08:05:00Z</dcterms:modified>
</cp:coreProperties>
</file>